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78F" w:rsidRDefault="00FB478F" w:rsidP="00FB478F">
      <w:r>
        <w:t>Here are just some of the services we offer: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Mole Removal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Skin Checks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Laser Hair Removal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Acne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Atypical Moles and Melanoma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Blistering Disorders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Contact Dermatitis (Eczema)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Genetic Skin Disorders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Pediatric Skin Disorders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Pigment Disorders, vitiligo, melasma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Scars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Light Therapy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Psoriasis</w:t>
      </w:r>
    </w:p>
    <w:p w:rsidR="00FB478F" w:rsidRDefault="00FB478F" w:rsidP="00FB478F">
      <w:pPr>
        <w:pStyle w:val="ListParagraph"/>
        <w:numPr>
          <w:ilvl w:val="0"/>
          <w:numId w:val="5"/>
        </w:numPr>
      </w:pPr>
      <w:r>
        <w:t>Inflammatory, Autoimmune, and Irritant conditions</w:t>
      </w:r>
    </w:p>
    <w:sectPr w:rsidR="00FB478F" w:rsidSect="004A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495"/>
    <w:multiLevelType w:val="hybridMultilevel"/>
    <w:tmpl w:val="9112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2CF4"/>
    <w:multiLevelType w:val="hybridMultilevel"/>
    <w:tmpl w:val="4E56BBD2"/>
    <w:lvl w:ilvl="0" w:tplc="D918E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574"/>
    <w:multiLevelType w:val="hybridMultilevel"/>
    <w:tmpl w:val="2586F21A"/>
    <w:lvl w:ilvl="0" w:tplc="D918E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440F"/>
    <w:multiLevelType w:val="hybridMultilevel"/>
    <w:tmpl w:val="5778E95A"/>
    <w:lvl w:ilvl="0" w:tplc="D918E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100E"/>
    <w:multiLevelType w:val="hybridMultilevel"/>
    <w:tmpl w:val="CC8C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CC"/>
    <w:rsid w:val="000A05B5"/>
    <w:rsid w:val="004A44EC"/>
    <w:rsid w:val="00700ECC"/>
    <w:rsid w:val="00F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C4A5E"/>
  <w15:chartTrackingRefBased/>
  <w15:docId w15:val="{898D1904-5C21-A148-8B39-DA937B8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E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B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Borchers, Christina Elise</dc:creator>
  <cp:keywords/>
  <dc:description/>
  <cp:lastModifiedBy>Borchers, Christina Elise</cp:lastModifiedBy>
  <cp:revision>2</cp:revision>
  <dcterms:created xsi:type="dcterms:W3CDTF">2020-05-05T01:18:00Z</dcterms:created>
  <dcterms:modified xsi:type="dcterms:W3CDTF">2020-05-05T01:18:00Z</dcterms:modified>
</cp:coreProperties>
</file>